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2092B" w14:textId="18A9E67C" w:rsidR="00CD0D8C" w:rsidRPr="00CD0D8C" w:rsidRDefault="00CD0D8C" w:rsidP="00CD0D8C">
      <w:pPr>
        <w:spacing w:after="0" w:line="240" w:lineRule="auto"/>
        <w:outlineLvl w:val="0"/>
        <w:rPr>
          <w:rFonts w:eastAsia="Times New Roman" w:cstheme="minorHAnsi"/>
          <w:b/>
          <w:bCs/>
          <w:color w:val="2E4837"/>
          <w:kern w:val="36"/>
          <w:sz w:val="44"/>
          <w:szCs w:val="44"/>
          <w:lang w:eastAsia="nl-NL"/>
        </w:rPr>
      </w:pPr>
      <w:r w:rsidRPr="00CD0D8C">
        <w:rPr>
          <w:rFonts w:eastAsia="Times New Roman" w:cstheme="minorHAnsi"/>
          <w:b/>
          <w:bCs/>
          <w:color w:val="2E4837"/>
          <w:kern w:val="36"/>
          <w:sz w:val="44"/>
          <w:szCs w:val="44"/>
          <w:lang w:eastAsia="nl-NL"/>
        </w:rPr>
        <w:t>Vergoeding apotheekbereidingen 202</w:t>
      </w:r>
      <w:r w:rsidR="007543C1">
        <w:rPr>
          <w:rFonts w:eastAsia="Times New Roman" w:cstheme="minorHAnsi"/>
          <w:b/>
          <w:bCs/>
          <w:color w:val="2E4837"/>
          <w:kern w:val="36"/>
          <w:sz w:val="44"/>
          <w:szCs w:val="44"/>
          <w:lang w:eastAsia="nl-NL"/>
        </w:rPr>
        <w:t>4</w:t>
      </w:r>
      <w:r w:rsidRPr="00CD0D8C">
        <w:rPr>
          <w:rFonts w:eastAsia="Times New Roman" w:cstheme="minorHAnsi"/>
          <w:b/>
          <w:bCs/>
          <w:color w:val="2E4837"/>
          <w:kern w:val="36"/>
          <w:sz w:val="44"/>
          <w:szCs w:val="44"/>
          <w:lang w:eastAsia="nl-NL"/>
        </w:rPr>
        <w:t xml:space="preserve"> bekend</w:t>
      </w:r>
    </w:p>
    <w:p w14:paraId="10C104F7" w14:textId="77777777" w:rsidR="007543C1" w:rsidRDefault="007543C1" w:rsidP="00CD0D8C">
      <w:pPr>
        <w:spacing w:after="100" w:afterAutospacing="1" w:line="240" w:lineRule="auto"/>
        <w:rPr>
          <w:rFonts w:eastAsia="Times New Roman" w:cstheme="minorHAnsi"/>
          <w:color w:val="2E4837"/>
          <w:lang w:eastAsia="nl-NL"/>
        </w:rPr>
      </w:pPr>
    </w:p>
    <w:p w14:paraId="7BCC059D" w14:textId="01CB568D" w:rsidR="00CD0D8C" w:rsidRPr="00CD0D8C" w:rsidRDefault="00CD0D8C" w:rsidP="00CD0D8C">
      <w:pPr>
        <w:spacing w:after="100" w:afterAutospacing="1" w:line="240" w:lineRule="auto"/>
        <w:rPr>
          <w:rFonts w:eastAsia="Times New Roman" w:cstheme="minorHAnsi"/>
          <w:color w:val="2E4837"/>
          <w:lang w:eastAsia="nl-NL"/>
        </w:rPr>
      </w:pPr>
      <w:r w:rsidRPr="00CD0D8C">
        <w:rPr>
          <w:rFonts w:eastAsia="Times New Roman" w:cstheme="minorHAnsi"/>
          <w:color w:val="2E4837"/>
          <w:lang w:eastAsia="nl-NL"/>
        </w:rPr>
        <w:t>Door middel van dit bericht maken zorgverzekeraars bekend welke (doorgeleverde) apotheekbereidingen zij vanaf 1 januari 202</w:t>
      </w:r>
      <w:r w:rsidR="007543C1">
        <w:rPr>
          <w:rFonts w:eastAsia="Times New Roman" w:cstheme="minorHAnsi"/>
          <w:color w:val="2E4837"/>
          <w:lang w:eastAsia="nl-NL"/>
        </w:rPr>
        <w:t>4</w:t>
      </w:r>
      <w:r w:rsidRPr="00CD0D8C">
        <w:rPr>
          <w:rFonts w:eastAsia="Times New Roman" w:cstheme="minorHAnsi"/>
          <w:color w:val="2E4837"/>
          <w:lang w:eastAsia="nl-NL"/>
        </w:rPr>
        <w:t xml:space="preserve"> niet meer vergoeden.</w:t>
      </w:r>
    </w:p>
    <w:p w14:paraId="5D004714" w14:textId="77777777" w:rsidR="00CD0D8C" w:rsidRPr="00CD0D8C" w:rsidRDefault="00CD0D8C" w:rsidP="00CD0D8C">
      <w:pPr>
        <w:spacing w:after="100" w:afterAutospacing="1" w:line="240" w:lineRule="auto"/>
        <w:rPr>
          <w:rFonts w:eastAsia="Times New Roman" w:cstheme="minorHAnsi"/>
          <w:color w:val="2E4837"/>
          <w:lang w:eastAsia="nl-NL"/>
        </w:rPr>
      </w:pPr>
      <w:r w:rsidRPr="00CD0D8C">
        <w:rPr>
          <w:rFonts w:eastAsia="Times New Roman" w:cstheme="minorHAnsi"/>
          <w:color w:val="2E4837"/>
          <w:lang w:eastAsia="nl-NL"/>
        </w:rPr>
        <w:t>Doorgeleverde apotheekbereidingen zijn bereidingen die een apotheek maakt en aan een andere apotheek levert. De Inspectie Gezondheidszorg en Jeugd (IGJ) staat dit onder bepaalde voorwaarden toe. Zie voor meer informatie de </w:t>
      </w:r>
      <w:hyperlink r:id="rId8" w:tgtFrame="_blank" w:history="1">
        <w:r w:rsidRPr="00CD0D8C">
          <w:rPr>
            <w:rFonts w:eastAsia="Times New Roman" w:cstheme="minorHAnsi"/>
            <w:color w:val="0E9382"/>
            <w:u w:val="single"/>
            <w:lang w:eastAsia="nl-NL"/>
          </w:rPr>
          <w:t>IGJ-Circulaire 'Handhavend optreden bij collegiaal doorleveren van eigen bereidingen door apothekers’</w:t>
        </w:r>
      </w:hyperlink>
      <w:r w:rsidRPr="00CD0D8C">
        <w:rPr>
          <w:rFonts w:eastAsia="Times New Roman" w:cstheme="minorHAnsi"/>
          <w:color w:val="2E4837"/>
          <w:lang w:eastAsia="nl-NL"/>
        </w:rPr>
        <w:t> en de bijbehorende annexen. Apotheekbereidingen zijn niet-geregistreerde geneesmiddelen en daarom niet opgenomen in het geneesmiddelenvergoedingssysteem (GVS).</w:t>
      </w:r>
    </w:p>
    <w:p w14:paraId="6EB3AB98" w14:textId="77777777" w:rsidR="00CD0D8C" w:rsidRPr="00CD0D8C" w:rsidRDefault="00CD0D8C" w:rsidP="00CD0D8C">
      <w:pPr>
        <w:spacing w:after="100" w:afterAutospacing="1" w:line="240" w:lineRule="auto"/>
        <w:rPr>
          <w:rFonts w:eastAsia="Times New Roman" w:cstheme="minorHAnsi"/>
          <w:color w:val="2E4837"/>
          <w:lang w:eastAsia="nl-NL"/>
        </w:rPr>
      </w:pPr>
      <w:r w:rsidRPr="00CD0D8C">
        <w:rPr>
          <w:rFonts w:eastAsia="Times New Roman" w:cstheme="minorHAnsi"/>
          <w:color w:val="2E4837"/>
          <w:lang w:eastAsia="nl-NL"/>
        </w:rPr>
        <w:t>Een doorgeleverde bereiding (DB) moet voor wat betreft de vergoeding onder meer voldoen aan de wettelijke eis uit het Besluit Zorgverzekering artikel 2.8 lid 1: er moet sprake zijn van rationele farmacotherapie. Dit betekent dat de werkzaamheid en effectiviteit van de bereiding moet blijken uit wetenschappelijke literatuur en dat de apotheekbereiding tevens de meest economische keuze is voor de zorgverzekering. Sinds 2016 besluiten zorgverzekeraars gezamenlijk welke doorgeleverde bereidingen voor vergoeding in aanmerking komen. Om tot een gezamenlijk besluit te komen, krijgen de verzekeraars input van de KNMP, koepelorganisaties van medisch specialisten en huisartsen en van de Patiëntenfederatie Nederland. Uiteindelijk is het echter aan de zorgverzekeraars om te besluiten of zij een bereiding vergoeden of niet.</w:t>
      </w:r>
    </w:p>
    <w:p w14:paraId="7DCAE48B" w14:textId="77777777" w:rsidR="00CD0D8C" w:rsidRPr="00CD0D8C" w:rsidRDefault="00CD0D8C" w:rsidP="00CD0D8C">
      <w:pPr>
        <w:spacing w:after="100" w:afterAutospacing="1" w:line="240" w:lineRule="auto"/>
        <w:rPr>
          <w:rFonts w:eastAsia="Times New Roman" w:cstheme="minorHAnsi"/>
          <w:b/>
          <w:bCs/>
          <w:color w:val="2E4837"/>
          <w:lang w:eastAsia="nl-NL"/>
        </w:rPr>
      </w:pPr>
      <w:r w:rsidRPr="00CD0D8C">
        <w:rPr>
          <w:rFonts w:eastAsia="Times New Roman" w:cstheme="minorHAnsi"/>
          <w:b/>
          <w:bCs/>
          <w:color w:val="2E4837"/>
          <w:lang w:eastAsia="nl-NL"/>
        </w:rPr>
        <w:t>Aanspraakstatus</w:t>
      </w:r>
    </w:p>
    <w:p w14:paraId="6BAEB249" w14:textId="77777777" w:rsidR="00CD0D8C" w:rsidRPr="00CD0D8C" w:rsidRDefault="00CD0D8C" w:rsidP="00CD0D8C">
      <w:pPr>
        <w:spacing w:after="100" w:afterAutospacing="1" w:line="240" w:lineRule="auto"/>
        <w:rPr>
          <w:rFonts w:eastAsia="Times New Roman" w:cstheme="minorHAnsi"/>
          <w:color w:val="2E4837"/>
          <w:lang w:eastAsia="nl-NL"/>
        </w:rPr>
      </w:pPr>
      <w:r w:rsidRPr="00CD0D8C">
        <w:rPr>
          <w:rFonts w:eastAsia="Times New Roman" w:cstheme="minorHAnsi"/>
          <w:color w:val="2E4837"/>
          <w:lang w:eastAsia="nl-NL"/>
        </w:rPr>
        <w:t>Een doorgeleverde bereiding kent drie verschillende aanspraakstatussen:</w:t>
      </w:r>
    </w:p>
    <w:p w14:paraId="27FA9C39" w14:textId="77777777" w:rsidR="00CD0D8C" w:rsidRPr="00CD0D8C" w:rsidRDefault="00CD0D8C" w:rsidP="00CD0D8C">
      <w:pPr>
        <w:numPr>
          <w:ilvl w:val="0"/>
          <w:numId w:val="6"/>
        </w:numPr>
        <w:spacing w:before="100" w:beforeAutospacing="1" w:after="100" w:afterAutospacing="1" w:line="240" w:lineRule="auto"/>
        <w:ind w:left="495"/>
        <w:rPr>
          <w:rFonts w:eastAsia="Times New Roman" w:cstheme="minorHAnsi"/>
          <w:color w:val="2E4837"/>
          <w:lang w:eastAsia="nl-NL"/>
        </w:rPr>
      </w:pPr>
      <w:r w:rsidRPr="00CD0D8C">
        <w:rPr>
          <w:rFonts w:eastAsia="Times New Roman" w:cstheme="minorHAnsi"/>
          <w:color w:val="2E4837"/>
          <w:lang w:eastAsia="nl-NL"/>
        </w:rPr>
        <w:t>De bereiding komt in aanmerking voor vergoeding;</w:t>
      </w:r>
    </w:p>
    <w:p w14:paraId="5447FA5E" w14:textId="77777777" w:rsidR="00CD0D8C" w:rsidRPr="00CD0D8C" w:rsidRDefault="00CD0D8C" w:rsidP="00CD0D8C">
      <w:pPr>
        <w:numPr>
          <w:ilvl w:val="0"/>
          <w:numId w:val="6"/>
        </w:numPr>
        <w:spacing w:before="100" w:beforeAutospacing="1" w:after="100" w:afterAutospacing="1" w:line="240" w:lineRule="auto"/>
        <w:ind w:left="495"/>
        <w:rPr>
          <w:rFonts w:eastAsia="Times New Roman" w:cstheme="minorHAnsi"/>
          <w:color w:val="2E4837"/>
          <w:lang w:eastAsia="nl-NL"/>
        </w:rPr>
      </w:pPr>
      <w:r w:rsidRPr="00CD0D8C">
        <w:rPr>
          <w:rFonts w:eastAsia="Times New Roman" w:cstheme="minorHAnsi"/>
          <w:color w:val="2E4837"/>
          <w:lang w:eastAsia="nl-NL"/>
        </w:rPr>
        <w:t>De bereiding komt alleen onder bepaalde voorwaarden in aanmerking voor vergoeding;</w:t>
      </w:r>
    </w:p>
    <w:p w14:paraId="685CC2CF" w14:textId="77777777" w:rsidR="00CD0D8C" w:rsidRPr="00CD0D8C" w:rsidRDefault="00CD0D8C" w:rsidP="00CD0D8C">
      <w:pPr>
        <w:numPr>
          <w:ilvl w:val="0"/>
          <w:numId w:val="6"/>
        </w:numPr>
        <w:spacing w:before="100" w:beforeAutospacing="1" w:after="100" w:afterAutospacing="1" w:line="240" w:lineRule="auto"/>
        <w:ind w:left="495"/>
        <w:rPr>
          <w:rFonts w:eastAsia="Times New Roman" w:cstheme="minorHAnsi"/>
          <w:color w:val="2E4837"/>
          <w:lang w:eastAsia="nl-NL"/>
        </w:rPr>
      </w:pPr>
      <w:r w:rsidRPr="00CD0D8C">
        <w:rPr>
          <w:rFonts w:eastAsia="Times New Roman" w:cstheme="minorHAnsi"/>
          <w:color w:val="2E4837"/>
          <w:lang w:eastAsia="nl-NL"/>
        </w:rPr>
        <w:t>De bereiding komt in basis niet in aanmerking voor vergoeding, maar er kan wel een machtiging worden aangevraagd en op individuele gronden zou een verzekeraar toch kunnen besluiten de bereiding te vergoeden.</w:t>
      </w:r>
    </w:p>
    <w:p w14:paraId="49AA7729" w14:textId="77777777" w:rsidR="00CD0D8C" w:rsidRPr="00CD0D8C" w:rsidRDefault="00CD0D8C" w:rsidP="00CD0D8C">
      <w:pPr>
        <w:spacing w:after="100" w:afterAutospacing="1" w:line="240" w:lineRule="auto"/>
        <w:rPr>
          <w:rFonts w:eastAsia="Times New Roman" w:cstheme="minorHAnsi"/>
          <w:color w:val="2E4837"/>
          <w:lang w:eastAsia="nl-NL"/>
        </w:rPr>
      </w:pPr>
      <w:r w:rsidRPr="00CD0D8C">
        <w:rPr>
          <w:rFonts w:eastAsia="Times New Roman" w:cstheme="minorHAnsi"/>
          <w:color w:val="2E4837"/>
          <w:lang w:eastAsia="nl-NL"/>
        </w:rPr>
        <w:t>De aanspraakstatus en eventuele aanvullende voorwaarden van een bereiding worden uitgeleverd via de G-Standaard (z-index).</w:t>
      </w:r>
    </w:p>
    <w:p w14:paraId="2BAA3251" w14:textId="77777777" w:rsidR="00CD0D8C" w:rsidRPr="00CD0D8C" w:rsidRDefault="00CD0D8C" w:rsidP="00CD0D8C">
      <w:pPr>
        <w:spacing w:after="100" w:afterAutospacing="1" w:line="240" w:lineRule="auto"/>
        <w:rPr>
          <w:rFonts w:eastAsia="Times New Roman" w:cstheme="minorHAnsi"/>
          <w:b/>
          <w:bCs/>
          <w:color w:val="2E4837"/>
          <w:lang w:eastAsia="nl-NL"/>
        </w:rPr>
      </w:pPr>
      <w:r w:rsidRPr="00CD0D8C">
        <w:rPr>
          <w:rFonts w:eastAsia="Times New Roman" w:cstheme="minorHAnsi"/>
          <w:b/>
          <w:bCs/>
          <w:color w:val="2E4837"/>
          <w:lang w:eastAsia="nl-NL"/>
        </w:rPr>
        <w:t>Wijzigingen</w:t>
      </w:r>
    </w:p>
    <w:p w14:paraId="3B591FC6" w14:textId="12050384" w:rsidR="00CD0D8C" w:rsidRDefault="00CD0D8C" w:rsidP="00CD0D8C">
      <w:pPr>
        <w:spacing w:after="100" w:afterAutospacing="1" w:line="240" w:lineRule="auto"/>
        <w:rPr>
          <w:rFonts w:eastAsia="Times New Roman" w:cstheme="minorHAnsi"/>
          <w:color w:val="2E4837"/>
          <w:lang w:eastAsia="nl-NL"/>
        </w:rPr>
      </w:pPr>
      <w:r w:rsidRPr="00CD0D8C">
        <w:rPr>
          <w:rFonts w:eastAsia="Times New Roman" w:cstheme="minorHAnsi"/>
          <w:color w:val="2E4837"/>
          <w:lang w:eastAsia="nl-NL"/>
        </w:rPr>
        <w:t>Hieronder is een overzicht te vinden van bereidingen waarvan de vergoeding per 1 januari 202</w:t>
      </w:r>
      <w:r w:rsidR="007543C1">
        <w:rPr>
          <w:rFonts w:eastAsia="Times New Roman" w:cstheme="minorHAnsi"/>
          <w:color w:val="2E4837"/>
          <w:lang w:eastAsia="nl-NL"/>
        </w:rPr>
        <w:t xml:space="preserve">4 </w:t>
      </w:r>
      <w:r w:rsidRPr="00CD0D8C">
        <w:rPr>
          <w:rFonts w:eastAsia="Times New Roman" w:cstheme="minorHAnsi"/>
          <w:color w:val="2E4837"/>
          <w:lang w:eastAsia="nl-NL"/>
        </w:rPr>
        <w:t>wijzigt ten opzichte van 202</w:t>
      </w:r>
      <w:r w:rsidR="007543C1">
        <w:rPr>
          <w:rFonts w:eastAsia="Times New Roman" w:cstheme="minorHAnsi"/>
          <w:color w:val="2E4837"/>
          <w:lang w:eastAsia="nl-NL"/>
        </w:rPr>
        <w:t>3</w:t>
      </w:r>
      <w:r w:rsidRPr="00CD0D8C">
        <w:rPr>
          <w:rFonts w:eastAsia="Times New Roman" w:cstheme="minorHAnsi"/>
          <w:color w:val="2E4837"/>
          <w:lang w:eastAsia="nl-NL"/>
        </w:rPr>
        <w:t>:</w:t>
      </w:r>
    </w:p>
    <w:tbl>
      <w:tblPr>
        <w:tblStyle w:val="Tabelraster"/>
        <w:tblW w:w="0" w:type="auto"/>
        <w:tblLook w:val="04A0" w:firstRow="1" w:lastRow="0" w:firstColumn="1" w:lastColumn="0" w:noHBand="0" w:noVBand="1"/>
      </w:tblPr>
      <w:tblGrid>
        <w:gridCol w:w="2062"/>
        <w:gridCol w:w="2557"/>
        <w:gridCol w:w="2298"/>
        <w:gridCol w:w="2145"/>
      </w:tblGrid>
      <w:tr w:rsidR="00F25228" w:rsidRPr="00F25228" w14:paraId="06AB9077" w14:textId="77777777" w:rsidTr="007543C1">
        <w:tc>
          <w:tcPr>
            <w:tcW w:w="2062" w:type="dxa"/>
          </w:tcPr>
          <w:p w14:paraId="55DE8859" w14:textId="7733305A" w:rsidR="00F25228" w:rsidRPr="00F25228" w:rsidRDefault="00F25228" w:rsidP="00CD0D8C">
            <w:pPr>
              <w:spacing w:after="100" w:afterAutospacing="1"/>
              <w:rPr>
                <w:rFonts w:eastAsia="Times New Roman" w:cstheme="minorHAnsi"/>
                <w:b/>
                <w:bCs/>
                <w:color w:val="2E4837"/>
                <w:lang w:eastAsia="nl-NL"/>
              </w:rPr>
            </w:pPr>
            <w:r w:rsidRPr="00F25228">
              <w:rPr>
                <w:rFonts w:eastAsia="Times New Roman" w:cstheme="minorHAnsi"/>
                <w:b/>
                <w:bCs/>
                <w:color w:val="2E4837"/>
                <w:lang w:eastAsia="nl-NL"/>
              </w:rPr>
              <w:t>PRK-code</w:t>
            </w:r>
          </w:p>
        </w:tc>
        <w:tc>
          <w:tcPr>
            <w:tcW w:w="2557" w:type="dxa"/>
          </w:tcPr>
          <w:p w14:paraId="5521A86E" w14:textId="4CAB039F" w:rsidR="00F25228" w:rsidRPr="00F25228" w:rsidRDefault="00F25228" w:rsidP="00CD0D8C">
            <w:pPr>
              <w:spacing w:after="100" w:afterAutospacing="1"/>
              <w:rPr>
                <w:rFonts w:eastAsia="Times New Roman" w:cstheme="minorHAnsi"/>
                <w:b/>
                <w:bCs/>
                <w:color w:val="2E4837"/>
                <w:lang w:eastAsia="nl-NL"/>
              </w:rPr>
            </w:pPr>
            <w:r w:rsidRPr="00F25228">
              <w:rPr>
                <w:rFonts w:eastAsia="Times New Roman" w:cstheme="minorHAnsi"/>
                <w:b/>
                <w:bCs/>
                <w:color w:val="2E4837"/>
                <w:lang w:eastAsia="nl-NL"/>
              </w:rPr>
              <w:t>Omschrijving</w:t>
            </w:r>
          </w:p>
        </w:tc>
        <w:tc>
          <w:tcPr>
            <w:tcW w:w="2298" w:type="dxa"/>
          </w:tcPr>
          <w:p w14:paraId="07476599" w14:textId="257C2D95" w:rsidR="00F25228" w:rsidRPr="00F25228" w:rsidRDefault="00F25228" w:rsidP="00CD0D8C">
            <w:pPr>
              <w:spacing w:after="100" w:afterAutospacing="1"/>
              <w:rPr>
                <w:rFonts w:eastAsia="Times New Roman" w:cstheme="minorHAnsi"/>
                <w:b/>
                <w:bCs/>
                <w:color w:val="2E4837"/>
                <w:lang w:eastAsia="nl-NL"/>
              </w:rPr>
            </w:pPr>
            <w:r w:rsidRPr="00F25228">
              <w:rPr>
                <w:rFonts w:eastAsia="Times New Roman" w:cstheme="minorHAnsi"/>
                <w:b/>
                <w:bCs/>
                <w:color w:val="2E4837"/>
                <w:lang w:eastAsia="nl-NL"/>
              </w:rPr>
              <w:t>Vergoedingsstatus 2022</w:t>
            </w:r>
          </w:p>
        </w:tc>
        <w:tc>
          <w:tcPr>
            <w:tcW w:w="2145" w:type="dxa"/>
          </w:tcPr>
          <w:p w14:paraId="591145B2" w14:textId="6E654FA3" w:rsidR="00F25228" w:rsidRPr="00F25228" w:rsidRDefault="00F25228" w:rsidP="00CD0D8C">
            <w:pPr>
              <w:spacing w:after="100" w:afterAutospacing="1"/>
              <w:rPr>
                <w:rFonts w:eastAsia="Times New Roman" w:cstheme="minorHAnsi"/>
                <w:b/>
                <w:bCs/>
                <w:color w:val="2E4837"/>
                <w:lang w:eastAsia="nl-NL"/>
              </w:rPr>
            </w:pPr>
            <w:r w:rsidRPr="00F25228">
              <w:rPr>
                <w:rFonts w:eastAsia="Times New Roman" w:cstheme="minorHAnsi"/>
                <w:b/>
                <w:bCs/>
                <w:color w:val="2E4837"/>
                <w:lang w:eastAsia="nl-NL"/>
              </w:rPr>
              <w:t>Vergoedingsstatus per 1-1-2</w:t>
            </w:r>
            <w:r w:rsidR="007543C1">
              <w:rPr>
                <w:rFonts w:eastAsia="Times New Roman" w:cstheme="minorHAnsi"/>
                <w:b/>
                <w:bCs/>
                <w:color w:val="2E4837"/>
                <w:lang w:eastAsia="nl-NL"/>
              </w:rPr>
              <w:t>4</w:t>
            </w:r>
          </w:p>
        </w:tc>
      </w:tr>
      <w:tr w:rsidR="001F5187" w:rsidRPr="000D07E5" w14:paraId="3617AC11" w14:textId="77777777" w:rsidTr="007543C1">
        <w:tc>
          <w:tcPr>
            <w:tcW w:w="2062" w:type="dxa"/>
          </w:tcPr>
          <w:p w14:paraId="694256C0" w14:textId="7BBFD113" w:rsidR="00F25228" w:rsidRPr="000D07E5" w:rsidRDefault="007543C1" w:rsidP="00CD0D8C">
            <w:pPr>
              <w:spacing w:after="100" w:afterAutospacing="1"/>
              <w:rPr>
                <w:rFonts w:eastAsia="Times New Roman" w:cstheme="minorHAnsi"/>
                <w:color w:val="0070C0"/>
                <w:lang w:eastAsia="nl-NL"/>
              </w:rPr>
            </w:pPr>
            <w:r>
              <w:rPr>
                <w:rFonts w:eastAsia="Times New Roman" w:cstheme="minorHAnsi"/>
                <w:color w:val="0070C0"/>
                <w:lang w:eastAsia="nl-NL"/>
              </w:rPr>
              <w:t>196738 en 87564</w:t>
            </w:r>
          </w:p>
        </w:tc>
        <w:tc>
          <w:tcPr>
            <w:tcW w:w="2557" w:type="dxa"/>
          </w:tcPr>
          <w:p w14:paraId="3106F0FF" w14:textId="6BB6F6C3" w:rsidR="00F25228" w:rsidRPr="000D07E5" w:rsidRDefault="007543C1" w:rsidP="00A8537F">
            <w:pPr>
              <w:rPr>
                <w:rFonts w:eastAsia="Times New Roman" w:cstheme="minorHAnsi"/>
                <w:color w:val="0070C0"/>
                <w:lang w:eastAsia="nl-NL"/>
              </w:rPr>
            </w:pPr>
            <w:r>
              <w:rPr>
                <w:rFonts w:eastAsia="Times New Roman"/>
                <w:color w:val="0070C0"/>
              </w:rPr>
              <w:t>Etidroninezuur capsule en tablet</w:t>
            </w:r>
          </w:p>
        </w:tc>
        <w:tc>
          <w:tcPr>
            <w:tcW w:w="2298" w:type="dxa"/>
          </w:tcPr>
          <w:p w14:paraId="72583A07" w14:textId="4E2B8826" w:rsidR="00F25228" w:rsidRPr="000D07E5" w:rsidRDefault="004075BE" w:rsidP="00CD0D8C">
            <w:pPr>
              <w:spacing w:after="100" w:afterAutospacing="1"/>
              <w:rPr>
                <w:rFonts w:eastAsia="Times New Roman" w:cstheme="minorHAnsi"/>
                <w:color w:val="0070C0"/>
                <w:lang w:eastAsia="nl-NL"/>
              </w:rPr>
            </w:pPr>
            <w:r>
              <w:rPr>
                <w:rFonts w:eastAsia="Times New Roman" w:cstheme="minorHAnsi"/>
                <w:color w:val="0070C0"/>
                <w:lang w:eastAsia="nl-NL"/>
              </w:rPr>
              <w:t>F</w:t>
            </w:r>
          </w:p>
        </w:tc>
        <w:tc>
          <w:tcPr>
            <w:tcW w:w="2145" w:type="dxa"/>
          </w:tcPr>
          <w:p w14:paraId="3DB7251D" w14:textId="16C94626" w:rsidR="00F25228" w:rsidRPr="000D07E5" w:rsidRDefault="001F5187" w:rsidP="00CD0D8C">
            <w:pPr>
              <w:spacing w:after="100" w:afterAutospacing="1"/>
              <w:rPr>
                <w:rFonts w:eastAsia="Times New Roman" w:cstheme="minorHAnsi"/>
                <w:color w:val="0070C0"/>
                <w:lang w:eastAsia="nl-NL"/>
              </w:rPr>
            </w:pPr>
            <w:r w:rsidRPr="000D07E5">
              <w:rPr>
                <w:rFonts w:eastAsia="Times New Roman" w:cstheme="minorHAnsi"/>
                <w:color w:val="0070C0"/>
                <w:lang w:eastAsia="nl-NL"/>
              </w:rPr>
              <w:t>N</w:t>
            </w:r>
          </w:p>
        </w:tc>
      </w:tr>
      <w:tr w:rsidR="000D07E5" w:rsidRPr="000D07E5" w14:paraId="53900834" w14:textId="77777777" w:rsidTr="007543C1">
        <w:tc>
          <w:tcPr>
            <w:tcW w:w="2062" w:type="dxa"/>
          </w:tcPr>
          <w:p w14:paraId="4F27258A" w14:textId="260616B9" w:rsidR="00F25228" w:rsidRPr="000D07E5" w:rsidRDefault="007543C1" w:rsidP="00CD0D8C">
            <w:pPr>
              <w:spacing w:after="100" w:afterAutospacing="1"/>
              <w:rPr>
                <w:rFonts w:eastAsia="Times New Roman" w:cstheme="minorHAnsi"/>
                <w:color w:val="0070C0"/>
                <w:lang w:eastAsia="nl-NL"/>
              </w:rPr>
            </w:pPr>
            <w:r w:rsidRPr="007543C1">
              <w:rPr>
                <w:rFonts w:eastAsia="Times New Roman" w:cstheme="minorHAnsi"/>
                <w:color w:val="0070C0"/>
                <w:lang w:eastAsia="nl-NL"/>
              </w:rPr>
              <w:t>213152</w:t>
            </w:r>
            <w:r>
              <w:rPr>
                <w:rFonts w:eastAsia="Times New Roman" w:cstheme="minorHAnsi"/>
                <w:color w:val="0070C0"/>
                <w:lang w:eastAsia="nl-NL"/>
              </w:rPr>
              <w:t>,</w:t>
            </w:r>
            <w:r w:rsidRPr="007543C1">
              <w:rPr>
                <w:rFonts w:eastAsia="Times New Roman" w:cstheme="minorHAnsi"/>
                <w:color w:val="0070C0"/>
                <w:lang w:eastAsia="nl-NL"/>
              </w:rPr>
              <w:t>213160, 204919, 204900 en 213446</w:t>
            </w:r>
          </w:p>
        </w:tc>
        <w:tc>
          <w:tcPr>
            <w:tcW w:w="2557" w:type="dxa"/>
          </w:tcPr>
          <w:p w14:paraId="2BD807A9" w14:textId="72FA3AA3" w:rsidR="00F25228" w:rsidRPr="000D07E5" w:rsidRDefault="007543C1" w:rsidP="00A8537F">
            <w:pPr>
              <w:rPr>
                <w:rFonts w:eastAsia="Times New Roman" w:cstheme="minorHAnsi"/>
                <w:color w:val="0070C0"/>
                <w:lang w:eastAsia="nl-NL"/>
              </w:rPr>
            </w:pPr>
            <w:r>
              <w:rPr>
                <w:rFonts w:eastAsia="Times New Roman"/>
                <w:color w:val="0070C0"/>
              </w:rPr>
              <w:t>Methylprednisolon infvl 10mg/ml (cassette, zak, pomp)</w:t>
            </w:r>
          </w:p>
        </w:tc>
        <w:tc>
          <w:tcPr>
            <w:tcW w:w="2298" w:type="dxa"/>
          </w:tcPr>
          <w:p w14:paraId="19AAA0C9" w14:textId="140A6B11" w:rsidR="000D07E5" w:rsidRPr="000D07E5" w:rsidRDefault="006811F5" w:rsidP="000D07E5">
            <w:pPr>
              <w:pStyle w:val="Geenafstand"/>
              <w:rPr>
                <w:rFonts w:eastAsia="Times New Roman" w:cstheme="minorHAnsi"/>
                <w:color w:val="0070C0"/>
                <w:lang w:eastAsia="nl-NL"/>
              </w:rPr>
            </w:pPr>
            <w:r>
              <w:rPr>
                <w:rFonts w:eastAsia="Times New Roman" w:cstheme="minorHAnsi"/>
                <w:color w:val="0070C0"/>
                <w:lang w:eastAsia="nl-NL"/>
              </w:rPr>
              <w:t>F (N in sommige gevallen)</w:t>
            </w:r>
          </w:p>
        </w:tc>
        <w:tc>
          <w:tcPr>
            <w:tcW w:w="2145" w:type="dxa"/>
          </w:tcPr>
          <w:p w14:paraId="41E6EFF3" w14:textId="411591FC" w:rsidR="00F25228" w:rsidRPr="000D07E5" w:rsidRDefault="000D07E5" w:rsidP="00CD0D8C">
            <w:pPr>
              <w:spacing w:after="100" w:afterAutospacing="1"/>
              <w:rPr>
                <w:rFonts w:eastAsia="Times New Roman" w:cstheme="minorHAnsi"/>
                <w:color w:val="0070C0"/>
                <w:lang w:eastAsia="nl-NL"/>
              </w:rPr>
            </w:pPr>
            <w:r w:rsidRPr="000D07E5">
              <w:rPr>
                <w:rFonts w:eastAsia="Times New Roman" w:cstheme="minorHAnsi"/>
                <w:color w:val="0070C0"/>
                <w:lang w:eastAsia="nl-NL"/>
              </w:rPr>
              <w:t>N</w:t>
            </w:r>
          </w:p>
        </w:tc>
      </w:tr>
      <w:tr w:rsidR="00F57082" w:rsidRPr="008C0EFE" w14:paraId="7E74E631" w14:textId="77777777" w:rsidTr="007543C1">
        <w:tc>
          <w:tcPr>
            <w:tcW w:w="2062" w:type="dxa"/>
          </w:tcPr>
          <w:p w14:paraId="17A44158" w14:textId="42135E64" w:rsidR="00F25228" w:rsidRPr="008C0EFE" w:rsidRDefault="007543C1" w:rsidP="00CD0D8C">
            <w:pPr>
              <w:spacing w:after="100" w:afterAutospacing="1"/>
              <w:rPr>
                <w:rFonts w:eastAsia="Times New Roman" w:cstheme="minorHAnsi"/>
                <w:color w:val="0070C0"/>
                <w:lang w:eastAsia="nl-NL"/>
              </w:rPr>
            </w:pPr>
            <w:r w:rsidRPr="007543C1">
              <w:rPr>
                <w:rFonts w:eastAsia="Times New Roman" w:cstheme="minorHAnsi"/>
                <w:color w:val="0070C0"/>
                <w:lang w:eastAsia="nl-NL"/>
              </w:rPr>
              <w:t>218243</w:t>
            </w:r>
          </w:p>
        </w:tc>
        <w:tc>
          <w:tcPr>
            <w:tcW w:w="2557" w:type="dxa"/>
          </w:tcPr>
          <w:p w14:paraId="4C4451F4" w14:textId="77777777" w:rsidR="00F25228" w:rsidRDefault="007543C1" w:rsidP="00073643">
            <w:pPr>
              <w:rPr>
                <w:rFonts w:eastAsia="Times New Roman"/>
                <w:color w:val="0070C0"/>
              </w:rPr>
            </w:pPr>
            <w:r>
              <w:rPr>
                <w:rFonts w:eastAsia="Times New Roman"/>
                <w:color w:val="0070C0"/>
              </w:rPr>
              <w:t>Natriumbicarbonaattablet</w:t>
            </w:r>
          </w:p>
          <w:p w14:paraId="136B9547" w14:textId="1354EAA9" w:rsidR="007543C1" w:rsidRPr="008C0EFE" w:rsidRDefault="007543C1" w:rsidP="00073643">
            <w:pPr>
              <w:rPr>
                <w:rFonts w:eastAsia="Times New Roman" w:cstheme="minorHAnsi"/>
                <w:color w:val="0070C0"/>
                <w:lang w:eastAsia="nl-NL"/>
              </w:rPr>
            </w:pPr>
            <w:r>
              <w:rPr>
                <w:rFonts w:eastAsia="Times New Roman" w:cstheme="minorHAnsi"/>
                <w:color w:val="0070C0"/>
                <w:lang w:eastAsia="nl-NL"/>
              </w:rPr>
              <w:t>1000mg</w:t>
            </w:r>
          </w:p>
        </w:tc>
        <w:tc>
          <w:tcPr>
            <w:tcW w:w="2298" w:type="dxa"/>
          </w:tcPr>
          <w:p w14:paraId="214A8323" w14:textId="6FB8FBF6" w:rsidR="00F25228" w:rsidRPr="008C0EFE" w:rsidRDefault="00F57082" w:rsidP="00CD0D8C">
            <w:pPr>
              <w:spacing w:after="100" w:afterAutospacing="1"/>
              <w:rPr>
                <w:rFonts w:eastAsia="Times New Roman" w:cstheme="minorHAnsi"/>
                <w:color w:val="0070C0"/>
                <w:lang w:eastAsia="nl-NL"/>
              </w:rPr>
            </w:pPr>
            <w:r w:rsidRPr="008C0EFE">
              <w:rPr>
                <w:rFonts w:eastAsia="Times New Roman" w:cstheme="minorHAnsi"/>
                <w:color w:val="0070C0"/>
                <w:lang w:eastAsia="nl-NL"/>
              </w:rPr>
              <w:t>F</w:t>
            </w:r>
          </w:p>
        </w:tc>
        <w:tc>
          <w:tcPr>
            <w:tcW w:w="2145" w:type="dxa"/>
          </w:tcPr>
          <w:p w14:paraId="42958DFC" w14:textId="2193FAFE" w:rsidR="00F25228" w:rsidRPr="008C0EFE" w:rsidRDefault="007543C1" w:rsidP="00CD0D8C">
            <w:pPr>
              <w:spacing w:after="100" w:afterAutospacing="1"/>
              <w:rPr>
                <w:rFonts w:eastAsia="Times New Roman" w:cstheme="minorHAnsi"/>
                <w:color w:val="0070C0"/>
                <w:lang w:eastAsia="nl-NL"/>
              </w:rPr>
            </w:pPr>
            <w:r>
              <w:rPr>
                <w:rFonts w:eastAsia="Times New Roman" w:cstheme="minorHAnsi"/>
                <w:color w:val="0070C0"/>
                <w:lang w:eastAsia="nl-NL"/>
              </w:rPr>
              <w:t xml:space="preserve">F, </w:t>
            </w:r>
            <w:r w:rsidRPr="007543C1">
              <w:rPr>
                <w:rFonts w:eastAsia="Times New Roman" w:cstheme="minorHAnsi"/>
                <w:color w:val="0070C0"/>
                <w:lang w:eastAsia="nl-NL"/>
              </w:rPr>
              <w:t xml:space="preserve">Voorwaarde: Uitsluitend indien </w:t>
            </w:r>
            <w:r w:rsidRPr="007543C1">
              <w:rPr>
                <w:rFonts w:eastAsia="Times New Roman" w:cstheme="minorHAnsi"/>
                <w:color w:val="0070C0"/>
                <w:lang w:eastAsia="nl-NL"/>
              </w:rPr>
              <w:lastRenderedPageBreak/>
              <w:t>het eerste voorschrift afkomstig is van een internist of (kinder)nefroloog</w:t>
            </w:r>
          </w:p>
        </w:tc>
      </w:tr>
      <w:tr w:rsidR="00203215" w:rsidRPr="00203215" w14:paraId="31300054" w14:textId="77777777" w:rsidTr="007543C1">
        <w:tc>
          <w:tcPr>
            <w:tcW w:w="2062" w:type="dxa"/>
          </w:tcPr>
          <w:p w14:paraId="46D6981E" w14:textId="73451527" w:rsidR="00F25228" w:rsidRPr="00203215" w:rsidRDefault="00F25228" w:rsidP="00CD0D8C">
            <w:pPr>
              <w:spacing w:after="100" w:afterAutospacing="1"/>
              <w:rPr>
                <w:rFonts w:eastAsia="Times New Roman" w:cstheme="minorHAnsi"/>
                <w:color w:val="0070C0"/>
                <w:lang w:eastAsia="nl-NL"/>
              </w:rPr>
            </w:pPr>
            <w:r w:rsidRPr="00203215">
              <w:rPr>
                <w:rFonts w:ascii="Calibri" w:hAnsi="Calibri" w:cs="Calibri"/>
                <w:color w:val="0070C0"/>
              </w:rPr>
              <w:lastRenderedPageBreak/>
              <w:t>1</w:t>
            </w:r>
            <w:r w:rsidR="007543C1" w:rsidRPr="007543C1">
              <w:rPr>
                <w:rFonts w:ascii="Calibri" w:hAnsi="Calibri" w:cs="Calibri"/>
                <w:color w:val="0070C0"/>
              </w:rPr>
              <w:t>25024</w:t>
            </w:r>
          </w:p>
        </w:tc>
        <w:tc>
          <w:tcPr>
            <w:tcW w:w="2557" w:type="dxa"/>
          </w:tcPr>
          <w:p w14:paraId="31969FE0" w14:textId="4732805A" w:rsidR="00F25228" w:rsidRPr="00203215" w:rsidRDefault="007543C1" w:rsidP="00CD0D8C">
            <w:pPr>
              <w:spacing w:after="100" w:afterAutospacing="1"/>
              <w:rPr>
                <w:rFonts w:eastAsia="Times New Roman" w:cstheme="minorHAnsi"/>
                <w:color w:val="0070C0"/>
                <w:lang w:eastAsia="nl-NL"/>
              </w:rPr>
            </w:pPr>
            <w:r>
              <w:rPr>
                <w:rFonts w:eastAsia="Times New Roman" w:cstheme="minorHAnsi"/>
                <w:color w:val="0070C0"/>
                <w:lang w:eastAsia="nl-NL"/>
              </w:rPr>
              <w:t>Paroxetine suspensie oraal 2mg/ml</w:t>
            </w:r>
          </w:p>
        </w:tc>
        <w:tc>
          <w:tcPr>
            <w:tcW w:w="2298" w:type="dxa"/>
          </w:tcPr>
          <w:p w14:paraId="7A801A34" w14:textId="0A77E4A3" w:rsidR="00F25228" w:rsidRPr="00203215" w:rsidRDefault="007543C1" w:rsidP="00CD0D8C">
            <w:pPr>
              <w:spacing w:after="100" w:afterAutospacing="1"/>
              <w:rPr>
                <w:rFonts w:eastAsia="Times New Roman" w:cstheme="minorHAnsi"/>
                <w:color w:val="0070C0"/>
                <w:lang w:eastAsia="nl-NL"/>
              </w:rPr>
            </w:pPr>
            <w:r>
              <w:rPr>
                <w:rFonts w:eastAsia="Times New Roman" w:cstheme="minorHAnsi"/>
                <w:color w:val="0070C0"/>
                <w:lang w:eastAsia="nl-NL"/>
              </w:rPr>
              <w:t>F</w:t>
            </w:r>
          </w:p>
        </w:tc>
        <w:tc>
          <w:tcPr>
            <w:tcW w:w="2145" w:type="dxa"/>
          </w:tcPr>
          <w:p w14:paraId="1F7A482F" w14:textId="458CC0C3" w:rsidR="00F25228" w:rsidRPr="00203215" w:rsidRDefault="007543C1" w:rsidP="00CD0D8C">
            <w:pPr>
              <w:spacing w:after="100" w:afterAutospacing="1"/>
              <w:rPr>
                <w:rFonts w:eastAsia="Times New Roman" w:cstheme="minorHAnsi"/>
                <w:color w:val="0070C0"/>
                <w:lang w:eastAsia="nl-NL"/>
              </w:rPr>
            </w:pPr>
            <w:r>
              <w:rPr>
                <w:rFonts w:eastAsia="Times New Roman" w:cstheme="minorHAnsi"/>
                <w:color w:val="0070C0"/>
                <w:lang w:eastAsia="nl-NL"/>
              </w:rPr>
              <w:t xml:space="preserve">F, </w:t>
            </w:r>
            <w:r w:rsidRPr="007543C1">
              <w:rPr>
                <w:rFonts w:eastAsia="Times New Roman" w:cstheme="minorHAnsi"/>
                <w:color w:val="0070C0"/>
                <w:lang w:eastAsia="nl-NL"/>
              </w:rPr>
              <w:t>Voorwaarde: in het kader van afbouw tabel 3 ( Multidisciplinair document ‘Afbouwen SSRI’s &amp; SNRI’s’)</w:t>
            </w:r>
          </w:p>
        </w:tc>
      </w:tr>
    </w:tbl>
    <w:p w14:paraId="7AC24386" w14:textId="77777777" w:rsidR="00C57EF5" w:rsidRPr="001548F9" w:rsidRDefault="00C57EF5" w:rsidP="00CD0D8C">
      <w:pPr>
        <w:spacing w:after="100" w:afterAutospacing="1" w:line="240" w:lineRule="auto"/>
        <w:rPr>
          <w:rFonts w:eastAsia="Times New Roman" w:cstheme="minorHAnsi"/>
          <w:color w:val="2E4837"/>
          <w:lang w:eastAsia="nl-NL"/>
        </w:rPr>
      </w:pPr>
    </w:p>
    <w:sectPr w:rsidR="00C57EF5" w:rsidRPr="001548F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1A73B" w14:textId="77777777" w:rsidR="00786883" w:rsidRDefault="00786883" w:rsidP="00CD0D8C">
      <w:pPr>
        <w:spacing w:after="0" w:line="240" w:lineRule="auto"/>
      </w:pPr>
      <w:r>
        <w:separator/>
      </w:r>
    </w:p>
  </w:endnote>
  <w:endnote w:type="continuationSeparator" w:id="0">
    <w:p w14:paraId="1E54C6AC" w14:textId="77777777" w:rsidR="00786883" w:rsidRDefault="00786883" w:rsidP="00CD0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CC98" w14:textId="77777777" w:rsidR="00786883" w:rsidRDefault="00786883" w:rsidP="00CD0D8C">
      <w:pPr>
        <w:spacing w:after="0" w:line="240" w:lineRule="auto"/>
      </w:pPr>
      <w:r>
        <w:separator/>
      </w:r>
    </w:p>
  </w:footnote>
  <w:footnote w:type="continuationSeparator" w:id="0">
    <w:p w14:paraId="4190CBA7" w14:textId="77777777" w:rsidR="00786883" w:rsidRDefault="00786883" w:rsidP="00CD0D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A22CB"/>
    <w:multiLevelType w:val="hybridMultilevel"/>
    <w:tmpl w:val="99E0BF3E"/>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540B93"/>
    <w:multiLevelType w:val="multilevel"/>
    <w:tmpl w:val="5280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B1EDE"/>
    <w:multiLevelType w:val="multilevel"/>
    <w:tmpl w:val="D86C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E23B5C"/>
    <w:multiLevelType w:val="hybridMultilevel"/>
    <w:tmpl w:val="CFE054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4E70F7"/>
    <w:multiLevelType w:val="multilevel"/>
    <w:tmpl w:val="2A12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550275"/>
    <w:multiLevelType w:val="hybridMultilevel"/>
    <w:tmpl w:val="DCB23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9905297">
    <w:abstractNumId w:val="5"/>
  </w:num>
  <w:num w:numId="2" w16cid:durableId="317266940">
    <w:abstractNumId w:val="3"/>
  </w:num>
  <w:num w:numId="3" w16cid:durableId="1995404042">
    <w:abstractNumId w:val="0"/>
  </w:num>
  <w:num w:numId="4" w16cid:durableId="769470167">
    <w:abstractNumId w:val="1"/>
  </w:num>
  <w:num w:numId="5" w16cid:durableId="528228104">
    <w:abstractNumId w:val="4"/>
  </w:num>
  <w:num w:numId="6" w16cid:durableId="990408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D8C"/>
    <w:rsid w:val="00073643"/>
    <w:rsid w:val="000D07E5"/>
    <w:rsid w:val="00114D91"/>
    <w:rsid w:val="001548F9"/>
    <w:rsid w:val="001C0664"/>
    <w:rsid w:val="001E492B"/>
    <w:rsid w:val="001F5187"/>
    <w:rsid w:val="00203215"/>
    <w:rsid w:val="002362F1"/>
    <w:rsid w:val="00251EB1"/>
    <w:rsid w:val="003454B6"/>
    <w:rsid w:val="003E3BDF"/>
    <w:rsid w:val="00403760"/>
    <w:rsid w:val="004075BE"/>
    <w:rsid w:val="004369DC"/>
    <w:rsid w:val="004B6603"/>
    <w:rsid w:val="006811F5"/>
    <w:rsid w:val="007543C1"/>
    <w:rsid w:val="00772249"/>
    <w:rsid w:val="00786883"/>
    <w:rsid w:val="007B66B9"/>
    <w:rsid w:val="00805DCE"/>
    <w:rsid w:val="00812301"/>
    <w:rsid w:val="008570B9"/>
    <w:rsid w:val="008A1822"/>
    <w:rsid w:val="008C06CA"/>
    <w:rsid w:val="008C0EFE"/>
    <w:rsid w:val="009127C4"/>
    <w:rsid w:val="00A15EFB"/>
    <w:rsid w:val="00A8537F"/>
    <w:rsid w:val="00B11D48"/>
    <w:rsid w:val="00B24D88"/>
    <w:rsid w:val="00B42C70"/>
    <w:rsid w:val="00C206A0"/>
    <w:rsid w:val="00C57EF5"/>
    <w:rsid w:val="00C6756D"/>
    <w:rsid w:val="00CC3029"/>
    <w:rsid w:val="00CD0495"/>
    <w:rsid w:val="00CD0D8C"/>
    <w:rsid w:val="00E66157"/>
    <w:rsid w:val="00E86D5B"/>
    <w:rsid w:val="00F25228"/>
    <w:rsid w:val="00F57082"/>
    <w:rsid w:val="00FE33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00EFB"/>
  <w15:chartTrackingRefBased/>
  <w15:docId w15:val="{8841659F-CB18-4B36-A02A-E5746B6FE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CD0D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D0D8C"/>
    <w:pPr>
      <w:tabs>
        <w:tab w:val="left" w:pos="284"/>
        <w:tab w:val="left" w:pos="567"/>
      </w:tabs>
      <w:spacing w:after="0" w:line="276" w:lineRule="auto"/>
      <w:ind w:left="720"/>
      <w:contextualSpacing/>
    </w:pPr>
    <w:rPr>
      <w:szCs w:val="24"/>
      <w14:numForm w14:val="lining"/>
      <w14:numSpacing w14:val="tabular"/>
    </w:rPr>
  </w:style>
  <w:style w:type="character" w:customStyle="1" w:styleId="Kop1Char">
    <w:name w:val="Kop 1 Char"/>
    <w:basedOn w:val="Standaardalinea-lettertype"/>
    <w:link w:val="Kop1"/>
    <w:uiPriority w:val="9"/>
    <w:rsid w:val="00CD0D8C"/>
    <w:rPr>
      <w:rFonts w:ascii="Times New Roman" w:eastAsia="Times New Roman" w:hAnsi="Times New Roman" w:cs="Times New Roman"/>
      <w:b/>
      <w:bCs/>
      <w:kern w:val="36"/>
      <w:sz w:val="48"/>
      <w:szCs w:val="48"/>
      <w:lang w:eastAsia="nl-NL"/>
    </w:rPr>
  </w:style>
  <w:style w:type="character" w:customStyle="1" w:styleId="container-horz">
    <w:name w:val="container-horz"/>
    <w:basedOn w:val="Standaardalinea-lettertype"/>
    <w:rsid w:val="00CD0D8C"/>
  </w:style>
  <w:style w:type="paragraph" w:customStyle="1" w:styleId="small">
    <w:name w:val="small"/>
    <w:basedOn w:val="Standaard"/>
    <w:rsid w:val="00CD0D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CD0D8C"/>
    <w:rPr>
      <w:color w:val="0000FF"/>
      <w:u w:val="single"/>
    </w:rPr>
  </w:style>
  <w:style w:type="paragraph" w:styleId="Normaalweb">
    <w:name w:val="Normal (Web)"/>
    <w:basedOn w:val="Standaard"/>
    <w:uiPriority w:val="99"/>
    <w:semiHidden/>
    <w:unhideWhenUsed/>
    <w:rsid w:val="00CD0D8C"/>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CD0D8C"/>
    <w:rPr>
      <w:b/>
      <w:bCs/>
    </w:rPr>
  </w:style>
  <w:style w:type="table" w:styleId="Tabelraster">
    <w:name w:val="Table Grid"/>
    <w:basedOn w:val="Standaardtabel"/>
    <w:uiPriority w:val="39"/>
    <w:rsid w:val="00F25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D07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664544">
      <w:bodyDiv w:val="1"/>
      <w:marLeft w:val="0"/>
      <w:marRight w:val="0"/>
      <w:marTop w:val="0"/>
      <w:marBottom w:val="0"/>
      <w:divBdr>
        <w:top w:val="none" w:sz="0" w:space="0" w:color="auto"/>
        <w:left w:val="none" w:sz="0" w:space="0" w:color="auto"/>
        <w:bottom w:val="none" w:sz="0" w:space="0" w:color="auto"/>
        <w:right w:val="none" w:sz="0" w:space="0" w:color="auto"/>
      </w:divBdr>
      <w:divsChild>
        <w:div w:id="383875982">
          <w:marLeft w:val="-225"/>
          <w:marRight w:val="-225"/>
          <w:marTop w:val="0"/>
          <w:marBottom w:val="0"/>
          <w:divBdr>
            <w:top w:val="none" w:sz="0" w:space="0" w:color="auto"/>
            <w:left w:val="none" w:sz="0" w:space="0" w:color="auto"/>
            <w:bottom w:val="single" w:sz="6" w:space="0" w:color="EEEEEE"/>
            <w:right w:val="none" w:sz="0" w:space="0" w:color="auto"/>
          </w:divBdr>
          <w:divsChild>
            <w:div w:id="97868854">
              <w:marLeft w:val="0"/>
              <w:marRight w:val="0"/>
              <w:marTop w:val="0"/>
              <w:marBottom w:val="0"/>
              <w:divBdr>
                <w:top w:val="none" w:sz="0" w:space="0" w:color="auto"/>
                <w:left w:val="none" w:sz="0" w:space="0" w:color="auto"/>
                <w:bottom w:val="none" w:sz="0" w:space="0" w:color="auto"/>
                <w:right w:val="none" w:sz="0" w:space="0" w:color="auto"/>
              </w:divBdr>
              <w:divsChild>
                <w:div w:id="174199589">
                  <w:marLeft w:val="-225"/>
                  <w:marRight w:val="-225"/>
                  <w:marTop w:val="0"/>
                  <w:marBottom w:val="0"/>
                  <w:divBdr>
                    <w:top w:val="none" w:sz="0" w:space="0" w:color="auto"/>
                    <w:left w:val="none" w:sz="0" w:space="0" w:color="auto"/>
                    <w:bottom w:val="none" w:sz="0" w:space="0" w:color="auto"/>
                    <w:right w:val="none" w:sz="0" w:space="0" w:color="auto"/>
                  </w:divBdr>
                  <w:divsChild>
                    <w:div w:id="1283997741">
                      <w:marLeft w:val="0"/>
                      <w:marRight w:val="0"/>
                      <w:marTop w:val="0"/>
                      <w:marBottom w:val="0"/>
                      <w:divBdr>
                        <w:top w:val="none" w:sz="0" w:space="0" w:color="auto"/>
                        <w:left w:val="none" w:sz="0" w:space="0" w:color="auto"/>
                        <w:bottom w:val="none" w:sz="0" w:space="0" w:color="auto"/>
                        <w:right w:val="none" w:sz="0" w:space="0" w:color="auto"/>
                      </w:divBdr>
                    </w:div>
                    <w:div w:id="1759011517">
                      <w:marLeft w:val="0"/>
                      <w:marRight w:val="0"/>
                      <w:marTop w:val="0"/>
                      <w:marBottom w:val="0"/>
                      <w:divBdr>
                        <w:top w:val="none" w:sz="0" w:space="0" w:color="auto"/>
                        <w:left w:val="none" w:sz="0" w:space="0" w:color="auto"/>
                        <w:bottom w:val="none" w:sz="0" w:space="0" w:color="auto"/>
                        <w:right w:val="none" w:sz="0" w:space="0" w:color="auto"/>
                      </w:divBdr>
                      <w:divsChild>
                        <w:div w:id="24997305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697700073">
              <w:marLeft w:val="0"/>
              <w:marRight w:val="0"/>
              <w:marTop w:val="0"/>
              <w:marBottom w:val="0"/>
              <w:divBdr>
                <w:top w:val="none" w:sz="0" w:space="0" w:color="auto"/>
                <w:left w:val="none" w:sz="0" w:space="0" w:color="auto"/>
                <w:bottom w:val="none" w:sz="0" w:space="0" w:color="auto"/>
                <w:right w:val="none" w:sz="0" w:space="0" w:color="auto"/>
              </w:divBdr>
              <w:divsChild>
                <w:div w:id="1410274021">
                  <w:marLeft w:val="0"/>
                  <w:marRight w:val="0"/>
                  <w:marTop w:val="0"/>
                  <w:marBottom w:val="0"/>
                  <w:divBdr>
                    <w:top w:val="none" w:sz="0" w:space="0" w:color="auto"/>
                    <w:left w:val="none" w:sz="0" w:space="0" w:color="auto"/>
                    <w:bottom w:val="none" w:sz="0" w:space="0" w:color="auto"/>
                    <w:right w:val="none" w:sz="0" w:space="0" w:color="auto"/>
                  </w:divBdr>
                  <w:divsChild>
                    <w:div w:id="723338450">
                      <w:marLeft w:val="0"/>
                      <w:marRight w:val="0"/>
                      <w:marTop w:val="0"/>
                      <w:marBottom w:val="0"/>
                      <w:divBdr>
                        <w:top w:val="none" w:sz="0" w:space="0" w:color="auto"/>
                        <w:left w:val="none" w:sz="0" w:space="0" w:color="auto"/>
                        <w:bottom w:val="none" w:sz="0" w:space="0" w:color="auto"/>
                        <w:right w:val="none" w:sz="0" w:space="0" w:color="auto"/>
                      </w:divBdr>
                    </w:div>
                  </w:divsChild>
                </w:div>
                <w:div w:id="158738072">
                  <w:marLeft w:val="0"/>
                  <w:marRight w:val="60"/>
                  <w:marTop w:val="0"/>
                  <w:marBottom w:val="0"/>
                  <w:divBdr>
                    <w:top w:val="none" w:sz="0" w:space="0" w:color="auto"/>
                    <w:left w:val="none" w:sz="0" w:space="0" w:color="auto"/>
                    <w:bottom w:val="none" w:sz="0" w:space="0" w:color="auto"/>
                    <w:right w:val="none" w:sz="0" w:space="0" w:color="auto"/>
                  </w:divBdr>
                  <w:divsChild>
                    <w:div w:id="144627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89053">
          <w:marLeft w:val="-225"/>
          <w:marRight w:val="-225"/>
          <w:marTop w:val="0"/>
          <w:marBottom w:val="0"/>
          <w:divBdr>
            <w:top w:val="none" w:sz="0" w:space="0" w:color="auto"/>
            <w:left w:val="none" w:sz="0" w:space="0" w:color="auto"/>
            <w:bottom w:val="none" w:sz="0" w:space="0" w:color="auto"/>
            <w:right w:val="none" w:sz="0" w:space="0" w:color="auto"/>
          </w:divBdr>
          <w:divsChild>
            <w:div w:id="1664888777">
              <w:marLeft w:val="0"/>
              <w:marRight w:val="0"/>
              <w:marTop w:val="0"/>
              <w:marBottom w:val="0"/>
              <w:divBdr>
                <w:top w:val="none" w:sz="0" w:space="0" w:color="auto"/>
                <w:left w:val="none" w:sz="0" w:space="0" w:color="auto"/>
                <w:bottom w:val="none" w:sz="0" w:space="0" w:color="auto"/>
                <w:right w:val="none" w:sz="0" w:space="0" w:color="auto"/>
              </w:divBdr>
              <w:divsChild>
                <w:div w:id="514927548">
                  <w:marLeft w:val="0"/>
                  <w:marRight w:val="0"/>
                  <w:marTop w:val="180"/>
                  <w:marBottom w:val="180"/>
                  <w:divBdr>
                    <w:top w:val="none" w:sz="0" w:space="0" w:color="auto"/>
                    <w:left w:val="none" w:sz="0" w:space="0" w:color="auto"/>
                    <w:bottom w:val="none" w:sz="0" w:space="0" w:color="auto"/>
                    <w:right w:val="none" w:sz="0" w:space="0" w:color="auto"/>
                  </w:divBdr>
                  <w:divsChild>
                    <w:div w:id="1112439580">
                      <w:marLeft w:val="0"/>
                      <w:marRight w:val="0"/>
                      <w:marTop w:val="180"/>
                      <w:marBottom w:val="180"/>
                      <w:divBdr>
                        <w:top w:val="none" w:sz="0" w:space="0" w:color="auto"/>
                        <w:left w:val="none" w:sz="0" w:space="0" w:color="auto"/>
                        <w:bottom w:val="none" w:sz="0" w:space="0" w:color="auto"/>
                        <w:right w:val="none" w:sz="0" w:space="0" w:color="auto"/>
                      </w:divBdr>
                      <w:divsChild>
                        <w:div w:id="1529752744">
                          <w:marLeft w:val="60"/>
                          <w:marRight w:val="60"/>
                          <w:marTop w:val="60"/>
                          <w:marBottom w:val="60"/>
                          <w:divBdr>
                            <w:top w:val="none" w:sz="0" w:space="0" w:color="auto"/>
                            <w:left w:val="none" w:sz="0" w:space="0" w:color="auto"/>
                            <w:bottom w:val="none" w:sz="0" w:space="0" w:color="auto"/>
                            <w:right w:val="none" w:sz="0" w:space="0" w:color="auto"/>
                          </w:divBdr>
                          <w:divsChild>
                            <w:div w:id="13479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641703">
          <w:marLeft w:val="-225"/>
          <w:marRight w:val="-225"/>
          <w:marTop w:val="0"/>
          <w:marBottom w:val="0"/>
          <w:divBdr>
            <w:top w:val="none" w:sz="0" w:space="0" w:color="auto"/>
            <w:left w:val="none" w:sz="0" w:space="0" w:color="auto"/>
            <w:bottom w:val="none" w:sz="0" w:space="0" w:color="auto"/>
            <w:right w:val="none" w:sz="0" w:space="0" w:color="auto"/>
          </w:divBdr>
          <w:divsChild>
            <w:div w:id="2030443395">
              <w:marLeft w:val="0"/>
              <w:marRight w:val="0"/>
              <w:marTop w:val="0"/>
              <w:marBottom w:val="0"/>
              <w:divBdr>
                <w:top w:val="none" w:sz="0" w:space="0" w:color="auto"/>
                <w:left w:val="none" w:sz="0" w:space="0" w:color="auto"/>
                <w:bottom w:val="none" w:sz="0" w:space="0" w:color="auto"/>
                <w:right w:val="none" w:sz="0" w:space="0" w:color="auto"/>
              </w:divBdr>
              <w:divsChild>
                <w:div w:id="1221401211">
                  <w:marLeft w:val="0"/>
                  <w:marRight w:val="0"/>
                  <w:marTop w:val="180"/>
                  <w:marBottom w:val="180"/>
                  <w:divBdr>
                    <w:top w:val="none" w:sz="0" w:space="0" w:color="auto"/>
                    <w:left w:val="none" w:sz="0" w:space="0" w:color="auto"/>
                    <w:bottom w:val="none" w:sz="0" w:space="0" w:color="auto"/>
                    <w:right w:val="none" w:sz="0" w:space="0" w:color="auto"/>
                  </w:divBdr>
                  <w:divsChild>
                    <w:div w:id="39091541">
                      <w:marLeft w:val="0"/>
                      <w:marRight w:val="0"/>
                      <w:marTop w:val="0"/>
                      <w:marBottom w:val="0"/>
                      <w:divBdr>
                        <w:top w:val="none" w:sz="0" w:space="0" w:color="auto"/>
                        <w:left w:val="none" w:sz="0" w:space="0" w:color="auto"/>
                        <w:bottom w:val="none" w:sz="0" w:space="0" w:color="auto"/>
                        <w:right w:val="none" w:sz="0" w:space="0" w:color="auto"/>
                      </w:divBdr>
                      <w:divsChild>
                        <w:div w:id="109956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igj.nl%2Fdocumenten%2Fcirculairen%2F2016%2F08%2F22%2Fcirculaire-handhavend-optreden-bij-collegiaal-doorleveren-van-eigen-bereidingen-door-apothekers&amp;data=02%7C01%7Cvera.vennemann%40asr.nl%7C7bb8402149514f1eb11508d864753f2c%7C092ed8ead21743afbb33abd3c252103c%7C0%7C0%7C637369802047957452&amp;sdata=oefD%2FzvLNuVowVyekeC8%2Fgq6yaawFqCgBb9kMdW4dbI%3D&amp;reserved=0"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ZNDocument" ma:contentTypeID="0x0101003D93667884C3D9499D848086F524FF79007AB4B75CBBFB8F4880DF7112CF60D56E" ma:contentTypeVersion="2" ma:contentTypeDescription="" ma:contentTypeScope="" ma:versionID="02ae904ed60f8015401002206e8881e5">
  <xsd:schema xmlns:xsd="http://www.w3.org/2001/XMLSchema" xmlns:xs="http://www.w3.org/2001/XMLSchema" xmlns:p="http://schemas.microsoft.com/office/2006/metadata/properties" xmlns:ns3="ba038740-69da-4beb-9424-6f16293a6780" targetNamespace="http://schemas.microsoft.com/office/2006/metadata/properties" ma:root="true" ma:fieldsID="75b6e73f7b8e08efe50856dbde33f744" ns3:_="">
    <xsd:import namespace="ba038740-69da-4beb-9424-6f16293a6780"/>
    <xsd:element name="properties">
      <xsd:complexType>
        <xsd:sequence>
          <xsd:element name="documentManagement">
            <xsd:complexType>
              <xsd:all>
                <xsd:element ref="ns3:TaxKeywordTaxHTField" minOccurs="0"/>
                <xsd:element ref="ns3:TaxCatchAll" minOccurs="0"/>
                <xsd:element ref="ns3:TaxCatchAllLabel" minOccurs="0"/>
                <xsd:element ref="ns3:Kenmerk" minOccurs="0"/>
                <xsd:element ref="ns3:Status" minOccurs="0"/>
                <xsd:element ref="ns3:Thema" minOccurs="0"/>
                <xsd:element ref="ns3:KeepOrigin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38740-69da-4beb-9424-6f16293a6780"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Trefwoorden" ma:fieldId="{23f27201-bee3-471e-b2e7-b64fd8b7ca38}" ma:taxonomyMulti="true" ma:sspId="10ecc099-e8a5-4140-8f9a-d8cbcdd4e3a1"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f795763-a855-45c1-a00b-93530c12f6d5}" ma:internalName="TaxCatchAll" ma:showField="CatchAllData" ma:web="e3cf03a6-1db3-46a7-afae-0d6a0238dac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f795763-a855-45c1-a00b-93530c12f6d5}" ma:internalName="TaxCatchAllLabel" ma:readOnly="true" ma:showField="CatchAllDataLabel" ma:web="e3cf03a6-1db3-46a7-afae-0d6a0238dacf">
      <xsd:complexType>
        <xsd:complexContent>
          <xsd:extension base="dms:MultiChoiceLookup">
            <xsd:sequence>
              <xsd:element name="Value" type="dms:Lookup" maxOccurs="unbounded" minOccurs="0" nillable="true"/>
            </xsd:sequence>
          </xsd:extension>
        </xsd:complexContent>
      </xsd:complexType>
    </xsd:element>
    <xsd:element name="Kenmerk" ma:index="13" nillable="true" ma:displayName="Kenmerk" ma:default="" ma:internalName="Kenmerk">
      <xsd:simpleType>
        <xsd:restriction base="dms:Text">
          <xsd:maxLength value="255"/>
        </xsd:restriction>
      </xsd:simpleType>
    </xsd:element>
    <xsd:element name="Status" ma:index="14" nillable="true" ma:displayName="Status" ma:default="Concept" ma:format="Dropdown" ma:internalName="Status">
      <xsd:simpleType>
        <xsd:restriction base="dms:Choice">
          <xsd:enumeration value="Concept"/>
          <xsd:enumeration value="Gepubliceerd"/>
        </xsd:restriction>
      </xsd:simpleType>
    </xsd:element>
    <xsd:element name="Thema" ma:index="15" nillable="true" ma:displayName="Thema" ma:default="" ma:internalName="Thema">
      <xsd:simpleType>
        <xsd:restriction base="dms:Text">
          <xsd:maxLength value="255"/>
        </xsd:restriction>
      </xsd:simpleType>
    </xsd:element>
    <xsd:element name="KeepOriginal" ma:index="16" nillable="true" ma:displayName="Behoud origineel" ma:default="0" ma:internalName="KeepOrigin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8"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0ecc099-e8a5-4140-8f9a-d8cbcdd4e3a1" ContentTypeId="0x0101003D93667884C3D9499D848086F524FF79" PreviousValue="false" LastSyncTimeStamp="2022-07-12T08:58:48.647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atus xmlns="ba038740-69da-4beb-9424-6f16293a6780">Concept</Status>
    <TaxCatchAll xmlns="ba038740-69da-4beb-9424-6f16293a6780" xsi:nil="true"/>
    <KeepOriginal xmlns="ba038740-69da-4beb-9424-6f16293a6780">false</KeepOriginal>
    <TaxKeywordTaxHTField xmlns="ba038740-69da-4beb-9424-6f16293a6780">
      <Terms xmlns="http://schemas.microsoft.com/office/infopath/2007/PartnerControls"/>
    </TaxKeywordTaxHTField>
    <Thema xmlns="ba038740-69da-4beb-9424-6f16293a6780">ZNplein</Thema>
    <Kenmerk xmlns="ba038740-69da-4beb-9424-6f16293a6780">ZN-23-019570</Kenmerk>
  </documentManagement>
</p:properties>
</file>

<file path=customXml/itemProps1.xml><?xml version="1.0" encoding="utf-8"?>
<ds:datastoreItem xmlns:ds="http://schemas.openxmlformats.org/officeDocument/2006/customXml" ds:itemID="{725E86BC-40BF-4970-954D-3CF2F1858C1D}">
  <ds:schemaRefs>
    <ds:schemaRef ds:uri="http://schemas.openxmlformats.org/officeDocument/2006/bibliography"/>
  </ds:schemaRefs>
</ds:datastoreItem>
</file>

<file path=customXml/itemProps2.xml><?xml version="1.0" encoding="utf-8"?>
<ds:datastoreItem xmlns:ds="http://schemas.openxmlformats.org/officeDocument/2006/customXml" ds:itemID="{F4BC1F0B-F769-4A0A-9647-F4984A29AF14}"/>
</file>

<file path=customXml/itemProps3.xml><?xml version="1.0" encoding="utf-8"?>
<ds:datastoreItem xmlns:ds="http://schemas.openxmlformats.org/officeDocument/2006/customXml" ds:itemID="{BA8AB298-095A-40A8-93E0-944B9D5A9FF9}"/>
</file>

<file path=customXml/itemProps4.xml><?xml version="1.0" encoding="utf-8"?>
<ds:datastoreItem xmlns:ds="http://schemas.openxmlformats.org/officeDocument/2006/customXml" ds:itemID="{7BED2510-60CD-4F8B-AFD3-6F37AFE6F3D0}"/>
</file>

<file path=customXml/itemProps5.xml><?xml version="1.0" encoding="utf-8"?>
<ds:datastoreItem xmlns:ds="http://schemas.openxmlformats.org/officeDocument/2006/customXml" ds:itemID="{D0D14353-37AB-486F-8EA9-6030B71E55F7}"/>
</file>

<file path=docProps/app.xml><?xml version="1.0" encoding="utf-8"?>
<Properties xmlns="http://schemas.openxmlformats.org/officeDocument/2006/extended-properties" xmlns:vt="http://schemas.openxmlformats.org/officeDocument/2006/docPropsVTypes">
  <Template>Normal</Template>
  <TotalTime>6</TotalTime>
  <Pages>2</Pages>
  <Words>490</Words>
  <Characters>2700</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220927 - Vergoeding apotheekbereidingen 2023 bekend - wijziging 271222</dc:title>
  <dc:subject/>
  <dc:creator>Sandra Offeringa (AA)</dc:creator>
  <cp:keywords/>
  <dc:description/>
  <cp:lastModifiedBy>Cecile Claus</cp:lastModifiedBy>
  <cp:revision>4</cp:revision>
  <dcterms:created xsi:type="dcterms:W3CDTF">2023-11-02T14:41:00Z</dcterms:created>
  <dcterms:modified xsi:type="dcterms:W3CDTF">2023-11-02T14:42:00Z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0x0101003D93667884C3D9499D848086F524FF79007AB4B75CBBFB8F4880DF7112CF60D56E</vt:lpwstr>
  </property>
</Properties>
</file>